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DE7C" w14:textId="77777777" w:rsidR="00C040A1" w:rsidRDefault="00C040A1" w:rsidP="00C040A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40A1">
        <w:rPr>
          <w:rFonts w:asciiTheme="majorHAnsi" w:hAnsiTheme="majorHAnsi" w:cstheme="majorHAnsi"/>
          <w:b/>
          <w:noProof/>
          <w:sz w:val="24"/>
          <w:szCs w:val="24"/>
          <w:lang w:eastAsia="en-AU"/>
        </w:rPr>
        <w:drawing>
          <wp:inline distT="0" distB="0" distL="0" distR="0" wp14:anchorId="40E811ED" wp14:editId="2204990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2392" w14:textId="19AA9D4C" w:rsidR="0047683B" w:rsidRPr="00C040A1" w:rsidRDefault="00C57A4E" w:rsidP="00C040A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040A1">
        <w:rPr>
          <w:rFonts w:asciiTheme="majorHAnsi" w:hAnsiTheme="majorHAnsi" w:cstheme="majorHAnsi"/>
          <w:b/>
          <w:sz w:val="32"/>
          <w:szCs w:val="32"/>
        </w:rPr>
        <w:t xml:space="preserve">Enrolment </w:t>
      </w:r>
      <w:r w:rsidR="00460114">
        <w:rPr>
          <w:rFonts w:asciiTheme="majorHAnsi" w:hAnsiTheme="majorHAnsi" w:cstheme="majorHAnsi"/>
          <w:b/>
          <w:sz w:val="32"/>
          <w:szCs w:val="32"/>
        </w:rPr>
        <w:t>Procedure</w:t>
      </w:r>
    </w:p>
    <w:p w14:paraId="07E680CB" w14:textId="416134FE" w:rsidR="0047683B" w:rsidRDefault="00C57A4E" w:rsidP="00761E5D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C040A1">
        <w:rPr>
          <w:rFonts w:asciiTheme="majorHAnsi" w:hAnsiTheme="majorHAnsi" w:cstheme="majorHAnsi"/>
          <w:i/>
          <w:sz w:val="24"/>
          <w:szCs w:val="24"/>
        </w:rPr>
        <w:t xml:space="preserve">This procedure was developed in reference to the </w:t>
      </w:r>
      <w:hyperlink r:id="rId8" w:history="1">
        <w:r w:rsidRPr="0009597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NSW Department of Education General Enrolment Procedures</w:t>
        </w:r>
      </w:hyperlink>
      <w:r w:rsidRPr="00C040A1">
        <w:rPr>
          <w:rFonts w:asciiTheme="majorHAnsi" w:hAnsiTheme="majorHAnsi" w:cstheme="majorHAnsi"/>
          <w:i/>
          <w:sz w:val="24"/>
          <w:szCs w:val="24"/>
        </w:rPr>
        <w:t xml:space="preserve"> (Policy Document 2002/0006/01/v1.0.0)</w:t>
      </w:r>
      <w:r w:rsidR="00C744CC">
        <w:rPr>
          <w:rFonts w:asciiTheme="majorHAnsi" w:hAnsiTheme="majorHAnsi" w:cstheme="majorHAnsi"/>
          <w:i/>
          <w:sz w:val="24"/>
          <w:szCs w:val="24"/>
        </w:rPr>
        <w:t>.</w:t>
      </w:r>
    </w:p>
    <w:p w14:paraId="493AB995" w14:textId="4FE2F0E4" w:rsidR="00460114" w:rsidRDefault="00460114" w:rsidP="00761E5D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This procedure is located on Wallsend South Public School’s website within the </w:t>
      </w:r>
      <w:r w:rsidRPr="00460114">
        <w:rPr>
          <w:rFonts w:asciiTheme="majorHAnsi" w:hAnsiTheme="majorHAnsi" w:cstheme="majorHAnsi"/>
          <w:b/>
          <w:i/>
          <w:sz w:val="24"/>
          <w:szCs w:val="24"/>
        </w:rPr>
        <w:t>Enrolment at WSPS</w:t>
      </w:r>
      <w:r>
        <w:rPr>
          <w:rFonts w:asciiTheme="majorHAnsi" w:hAnsiTheme="majorHAnsi" w:cstheme="majorHAnsi"/>
          <w:i/>
          <w:sz w:val="24"/>
          <w:szCs w:val="24"/>
        </w:rPr>
        <w:t xml:space="preserve"> tab.</w:t>
      </w:r>
    </w:p>
    <w:p w14:paraId="504049CC" w14:textId="4705BFEC" w:rsidR="00460114" w:rsidRPr="00460114" w:rsidRDefault="00460114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>
        <w:t xml:space="preserve">Wallsend South Public School website: </w:t>
      </w:r>
      <w:hyperlink r:id="rId9" w:history="1">
        <w:r w:rsidRPr="0056260D">
          <w:rPr>
            <w:rStyle w:val="Hyperlink"/>
            <w:rFonts w:asciiTheme="majorHAnsi" w:hAnsiTheme="majorHAnsi" w:cstheme="majorHAnsi"/>
            <w:sz w:val="24"/>
            <w:szCs w:val="24"/>
          </w:rPr>
          <w:t>https://wallsends-p.schools.nsw.gov.au/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p w14:paraId="30E79CAD" w14:textId="77777777" w:rsidR="000E141A" w:rsidRPr="004C40D3" w:rsidRDefault="0059126F" w:rsidP="00460114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Local Enrolment Process:</w:t>
      </w:r>
    </w:p>
    <w:p w14:paraId="407263C7" w14:textId="4B0ECED5" w:rsidR="00C57A4E" w:rsidRDefault="00C57A4E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Parents/carers may enrol their child in Kindergarten</w:t>
      </w:r>
      <w:r w:rsidR="00673CB5" w:rsidRPr="004C40D3">
        <w:rPr>
          <w:rFonts w:asciiTheme="majorHAnsi" w:hAnsiTheme="majorHAnsi" w:cstheme="majorHAnsi"/>
          <w:sz w:val="24"/>
          <w:szCs w:val="24"/>
        </w:rPr>
        <w:t xml:space="preserve"> at the beginning of the school year if the child turns 5 years of age on or before 31 July in that year.  The </w:t>
      </w:r>
      <w:r w:rsidR="00673CB5" w:rsidRPr="004C40D3">
        <w:rPr>
          <w:rFonts w:asciiTheme="majorHAnsi" w:hAnsiTheme="majorHAnsi" w:cstheme="majorHAnsi"/>
          <w:i/>
          <w:sz w:val="24"/>
          <w:szCs w:val="24"/>
        </w:rPr>
        <w:t>Education Act 1990</w:t>
      </w:r>
      <w:r w:rsidR="00673CB5" w:rsidRPr="004C40D3">
        <w:rPr>
          <w:rFonts w:asciiTheme="majorHAnsi" w:hAnsiTheme="majorHAnsi" w:cstheme="majorHAnsi"/>
          <w:sz w:val="24"/>
          <w:szCs w:val="24"/>
        </w:rPr>
        <w:t xml:space="preserve"> mandates that all children must be in compulsory schooling by 6 years of age.</w:t>
      </w:r>
    </w:p>
    <w:p w14:paraId="1221AF87" w14:textId="1D53F837" w:rsidR="00231221" w:rsidRDefault="00231221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Parents/carers complete an online enrolment application which is available from NSW Department of Education. It can be accessed through Wallsend South Public School’s website</w:t>
      </w:r>
      <w:r w:rsidR="00460114">
        <w:rPr>
          <w:rFonts w:asciiTheme="majorHAnsi" w:hAnsiTheme="majorHAnsi" w:cstheme="majorHAnsi"/>
          <w:sz w:val="24"/>
          <w:szCs w:val="24"/>
        </w:rPr>
        <w:t xml:space="preserve"> within the Enrolment tab. </w:t>
      </w:r>
    </w:p>
    <w:p w14:paraId="7F6A9557" w14:textId="11464572" w:rsidR="0074232A" w:rsidRDefault="00673CB5" w:rsidP="0003441A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Parents/carers may seek to enrol their child at Wallsend South Public Schoo</w:t>
      </w:r>
      <w:r w:rsidR="002A7F12" w:rsidRPr="004C40D3">
        <w:rPr>
          <w:rFonts w:asciiTheme="majorHAnsi" w:hAnsiTheme="majorHAnsi" w:cstheme="majorHAnsi"/>
          <w:sz w:val="24"/>
          <w:szCs w:val="24"/>
        </w:rPr>
        <w:t xml:space="preserve">l, however </w:t>
      </w:r>
      <w:r w:rsidR="002A7F12" w:rsidRPr="004C40D3">
        <w:rPr>
          <w:rFonts w:asciiTheme="majorHAnsi" w:hAnsiTheme="majorHAnsi" w:cstheme="majorHAnsi"/>
          <w:i/>
          <w:sz w:val="24"/>
          <w:szCs w:val="24"/>
        </w:rPr>
        <w:t>enrolment</w:t>
      </w:r>
      <w:r w:rsidRPr="004C40D3">
        <w:rPr>
          <w:rFonts w:asciiTheme="majorHAnsi" w:hAnsiTheme="majorHAnsi" w:cstheme="majorHAnsi"/>
          <w:i/>
          <w:sz w:val="24"/>
          <w:szCs w:val="24"/>
        </w:rPr>
        <w:t xml:space="preserve"> is only guaranteed for those living within the school’s local intake area</w:t>
      </w:r>
      <w:r w:rsidRPr="004C40D3">
        <w:rPr>
          <w:rFonts w:asciiTheme="majorHAnsi" w:hAnsiTheme="majorHAnsi" w:cstheme="majorHAnsi"/>
          <w:sz w:val="24"/>
          <w:szCs w:val="24"/>
        </w:rPr>
        <w:t xml:space="preserve">.  </w:t>
      </w:r>
      <w:r w:rsidR="002A7F12" w:rsidRPr="004C40D3">
        <w:rPr>
          <w:rFonts w:asciiTheme="majorHAnsi" w:hAnsiTheme="majorHAnsi" w:cstheme="majorHAnsi"/>
          <w:sz w:val="24"/>
          <w:szCs w:val="24"/>
        </w:rPr>
        <w:t>Please refer to</w:t>
      </w:r>
      <w:r w:rsidR="0003441A">
        <w:rPr>
          <w:rFonts w:asciiTheme="majorHAnsi" w:hAnsiTheme="majorHAnsi" w:cstheme="majorHAnsi"/>
          <w:sz w:val="24"/>
          <w:szCs w:val="24"/>
        </w:rPr>
        <w:t xml:space="preserve"> Appendix 1 of this document or</w:t>
      </w:r>
      <w:r w:rsidR="002A7F12" w:rsidRPr="004C40D3">
        <w:rPr>
          <w:rFonts w:asciiTheme="majorHAnsi" w:hAnsiTheme="majorHAnsi" w:cstheme="majorHAnsi"/>
          <w:sz w:val="24"/>
          <w:szCs w:val="24"/>
        </w:rPr>
        <w:t xml:space="preserve"> Wallsend South Public School</w:t>
      </w:r>
      <w:r w:rsidRPr="004C40D3">
        <w:rPr>
          <w:rFonts w:asciiTheme="majorHAnsi" w:hAnsiTheme="majorHAnsi" w:cstheme="majorHAnsi"/>
          <w:sz w:val="24"/>
          <w:szCs w:val="24"/>
        </w:rPr>
        <w:t xml:space="preserve"> websi</w:t>
      </w:r>
      <w:r w:rsidR="00761E5D" w:rsidRPr="004C40D3">
        <w:rPr>
          <w:rFonts w:asciiTheme="majorHAnsi" w:hAnsiTheme="majorHAnsi" w:cstheme="majorHAnsi"/>
          <w:sz w:val="24"/>
          <w:szCs w:val="24"/>
        </w:rPr>
        <w:t>te to view our local intake area</w:t>
      </w:r>
      <w:r w:rsidR="00373261">
        <w:rPr>
          <w:rFonts w:asciiTheme="majorHAnsi" w:hAnsiTheme="majorHAnsi" w:cstheme="majorHAnsi"/>
          <w:sz w:val="24"/>
          <w:szCs w:val="24"/>
        </w:rPr>
        <w:t>.</w:t>
      </w:r>
      <w:r w:rsidR="0074232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6F038D2" w14:textId="77777777" w:rsidR="000E141A" w:rsidRPr="004C40D3" w:rsidRDefault="00761E5D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To confirm a child’s eligibility</w:t>
      </w:r>
      <w:r w:rsidR="000E141A" w:rsidRPr="004C40D3">
        <w:rPr>
          <w:rFonts w:asciiTheme="majorHAnsi" w:hAnsiTheme="majorHAnsi" w:cstheme="majorHAnsi"/>
          <w:sz w:val="24"/>
          <w:szCs w:val="24"/>
        </w:rPr>
        <w:t xml:space="preserve"> to enrol, proof of address is required.  Please refer to the </w:t>
      </w:r>
      <w:r w:rsidR="000E141A" w:rsidRPr="0074232A">
        <w:rPr>
          <w:rFonts w:asciiTheme="majorHAnsi" w:hAnsiTheme="majorHAnsi" w:cstheme="majorHAnsi"/>
          <w:i/>
          <w:sz w:val="24"/>
          <w:szCs w:val="24"/>
        </w:rPr>
        <w:t>100 point residential check table below for proof required</w:t>
      </w:r>
      <w:r w:rsidR="000E141A" w:rsidRPr="004C40D3">
        <w:rPr>
          <w:rFonts w:asciiTheme="majorHAnsi" w:hAnsiTheme="majorHAnsi" w:cstheme="majorHAnsi"/>
          <w:sz w:val="24"/>
          <w:szCs w:val="24"/>
        </w:rPr>
        <w:t>.  This document</w:t>
      </w:r>
      <w:r w:rsidR="00373261">
        <w:rPr>
          <w:rFonts w:asciiTheme="majorHAnsi" w:hAnsiTheme="majorHAnsi" w:cstheme="majorHAnsi"/>
          <w:sz w:val="24"/>
          <w:szCs w:val="24"/>
        </w:rPr>
        <w:t xml:space="preserve">ation must be sighted </w:t>
      </w:r>
      <w:r w:rsidRPr="004C40D3">
        <w:rPr>
          <w:rFonts w:asciiTheme="majorHAnsi" w:hAnsiTheme="majorHAnsi" w:cstheme="majorHAnsi"/>
          <w:sz w:val="24"/>
          <w:szCs w:val="24"/>
        </w:rPr>
        <w:t>at the front office</w:t>
      </w:r>
      <w:r w:rsidR="0074232A">
        <w:rPr>
          <w:rFonts w:asciiTheme="majorHAnsi" w:hAnsiTheme="majorHAnsi" w:cstheme="majorHAnsi"/>
          <w:sz w:val="24"/>
          <w:szCs w:val="24"/>
        </w:rPr>
        <w:t xml:space="preserve"> and verified</w:t>
      </w:r>
      <w:r w:rsidR="004C40D3" w:rsidRPr="004C40D3">
        <w:rPr>
          <w:rFonts w:asciiTheme="majorHAnsi" w:hAnsiTheme="majorHAnsi" w:cstheme="maj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4C40D3" w:rsidRPr="000E0EB1" w14:paraId="4C383357" w14:textId="77777777" w:rsidTr="004C40D3">
        <w:tc>
          <w:tcPr>
            <w:tcW w:w="9067" w:type="dxa"/>
            <w:shd w:val="clear" w:color="auto" w:fill="595959" w:themeFill="text1" w:themeFillTint="A6"/>
          </w:tcPr>
          <w:p w14:paraId="38C0A0D6" w14:textId="77777777" w:rsidR="004C40D3" w:rsidRPr="000E0EB1" w:rsidRDefault="004C40D3" w:rsidP="00761E5D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0EB1">
              <w:rPr>
                <w:rFonts w:asciiTheme="majorHAnsi" w:hAnsiTheme="majorHAnsi" w:cstheme="majorHAnsi"/>
                <w:b/>
                <w:color w:val="FFFFFF" w:themeColor="background1"/>
              </w:rPr>
              <w:t>Document showing the full name of the child’s parent</w:t>
            </w:r>
          </w:p>
        </w:tc>
        <w:tc>
          <w:tcPr>
            <w:tcW w:w="1389" w:type="dxa"/>
            <w:shd w:val="clear" w:color="auto" w:fill="595959" w:themeFill="text1" w:themeFillTint="A6"/>
          </w:tcPr>
          <w:p w14:paraId="50E715B2" w14:textId="77777777" w:rsidR="004C40D3" w:rsidRPr="000E0EB1" w:rsidRDefault="004C40D3" w:rsidP="00761E5D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0EB1">
              <w:rPr>
                <w:rFonts w:asciiTheme="majorHAnsi" w:hAnsiTheme="majorHAnsi" w:cstheme="majorHAnsi"/>
                <w:b/>
                <w:color w:val="FFFFFF" w:themeColor="background1"/>
              </w:rPr>
              <w:t>Point</w:t>
            </w:r>
          </w:p>
        </w:tc>
      </w:tr>
      <w:tr w:rsidR="004C40D3" w:rsidRPr="000E0EB1" w14:paraId="063B4C40" w14:textId="77777777" w:rsidTr="004C40D3">
        <w:tc>
          <w:tcPr>
            <w:tcW w:w="9067" w:type="dxa"/>
          </w:tcPr>
          <w:p w14:paraId="23167D1B" w14:textId="77777777" w:rsidR="004C40D3" w:rsidRPr="000E0EB1" w:rsidRDefault="004C40D3" w:rsidP="004C40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 xml:space="preserve"> Only one of (i.e. no additional points for additional documents)</w:t>
            </w:r>
          </w:p>
          <w:p w14:paraId="30CA28E3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Council rates notice</w:t>
            </w:r>
          </w:p>
          <w:p w14:paraId="568F4928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Lease agreement through a registered real estate agent for a period of at least 6 months or rental board bond receipt</w:t>
            </w:r>
          </w:p>
          <w:p w14:paraId="51F66251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Exchanged contract of sale with settlement to occur within the applicable school year</w:t>
            </w:r>
          </w:p>
        </w:tc>
        <w:tc>
          <w:tcPr>
            <w:tcW w:w="1389" w:type="dxa"/>
          </w:tcPr>
          <w:p w14:paraId="74268EA5" w14:textId="77777777" w:rsidR="004C40D3" w:rsidRPr="000E0EB1" w:rsidRDefault="004C40D3" w:rsidP="00761E5D">
            <w:p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40</w:t>
            </w:r>
            <w:r w:rsidR="00C96521">
              <w:rPr>
                <w:rFonts w:asciiTheme="majorHAnsi" w:hAnsiTheme="majorHAnsi" w:cstheme="majorHAnsi"/>
              </w:rPr>
              <w:t xml:space="preserve"> each</w:t>
            </w:r>
          </w:p>
        </w:tc>
      </w:tr>
      <w:tr w:rsidR="004C40D3" w:rsidRPr="000E0EB1" w14:paraId="602426BB" w14:textId="77777777" w:rsidTr="004C40D3">
        <w:tc>
          <w:tcPr>
            <w:tcW w:w="9067" w:type="dxa"/>
          </w:tcPr>
          <w:p w14:paraId="2BE8F3EA" w14:textId="77777777" w:rsidR="004C40D3" w:rsidRPr="000E0EB1" w:rsidRDefault="004C40D3" w:rsidP="004C40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Any of the following:</w:t>
            </w:r>
          </w:p>
          <w:p w14:paraId="22E2287C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Private rental agreement for a period of at least 6 months</w:t>
            </w:r>
          </w:p>
          <w:p w14:paraId="5937D3AB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Centrelink payment statement showing home address</w:t>
            </w:r>
          </w:p>
          <w:p w14:paraId="4DC030EB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Electoral roll statement</w:t>
            </w:r>
          </w:p>
        </w:tc>
        <w:tc>
          <w:tcPr>
            <w:tcW w:w="1389" w:type="dxa"/>
          </w:tcPr>
          <w:p w14:paraId="6121937E" w14:textId="77777777" w:rsidR="004C40D3" w:rsidRPr="000E0EB1" w:rsidRDefault="004C40D3" w:rsidP="00761E5D">
            <w:p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20 each</w:t>
            </w:r>
          </w:p>
        </w:tc>
      </w:tr>
      <w:tr w:rsidR="004C40D3" w:rsidRPr="000E0EB1" w14:paraId="53345ACF" w14:textId="77777777" w:rsidTr="004C40D3">
        <w:tc>
          <w:tcPr>
            <w:tcW w:w="9067" w:type="dxa"/>
          </w:tcPr>
          <w:p w14:paraId="65EECB98" w14:textId="77777777" w:rsidR="004C40D3" w:rsidRPr="000E0EB1" w:rsidRDefault="004C40D3" w:rsidP="004C40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 xml:space="preserve"> Any of the following:</w:t>
            </w:r>
          </w:p>
          <w:p w14:paraId="15056322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Electricity or gas bill showing the service address*</w:t>
            </w:r>
          </w:p>
          <w:p w14:paraId="0AB8CBD3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Water bill showing the service address*</w:t>
            </w:r>
          </w:p>
          <w:p w14:paraId="6E70012A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Telephone or internet bill showing the service address?</w:t>
            </w:r>
          </w:p>
          <w:p w14:paraId="59E9AC35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Drivers licence or government issued ID showing home address?</w:t>
            </w:r>
          </w:p>
          <w:p w14:paraId="74804225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Home building or home contents insurance showing the service address</w:t>
            </w:r>
          </w:p>
          <w:p w14:paraId="77767DEC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Motor vehicle registration or compulsory third party insurance policy showing home address</w:t>
            </w:r>
          </w:p>
          <w:p w14:paraId="17C9C9F0" w14:textId="77777777" w:rsidR="004C40D3" w:rsidRPr="000E0EB1" w:rsidRDefault="004C40D3" w:rsidP="004C40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Statutory declaration stating the child’s residential address, how long they have lived there, and any supporting information or documentation of this</w:t>
            </w:r>
          </w:p>
        </w:tc>
        <w:tc>
          <w:tcPr>
            <w:tcW w:w="1389" w:type="dxa"/>
          </w:tcPr>
          <w:p w14:paraId="3354B1C3" w14:textId="77777777" w:rsidR="004C40D3" w:rsidRPr="000E0EB1" w:rsidRDefault="00373261" w:rsidP="00761E5D">
            <w:pPr>
              <w:jc w:val="both"/>
              <w:rPr>
                <w:rFonts w:asciiTheme="majorHAnsi" w:hAnsiTheme="majorHAnsi" w:cstheme="majorHAnsi"/>
              </w:rPr>
            </w:pPr>
            <w:r w:rsidRPr="000E0EB1">
              <w:rPr>
                <w:rFonts w:asciiTheme="majorHAnsi" w:hAnsiTheme="majorHAnsi" w:cstheme="majorHAnsi"/>
              </w:rPr>
              <w:t>10 each</w:t>
            </w:r>
          </w:p>
        </w:tc>
      </w:tr>
    </w:tbl>
    <w:p w14:paraId="750D9130" w14:textId="77777777" w:rsidR="00460114" w:rsidRDefault="004C40D3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C40D3">
        <w:rPr>
          <w:rFonts w:asciiTheme="majorHAnsi" w:hAnsiTheme="majorHAnsi" w:cstheme="majorHAnsi"/>
          <w:sz w:val="24"/>
          <w:szCs w:val="24"/>
        </w:rPr>
        <w:t xml:space="preserve">Up </w:t>
      </w:r>
      <w:r>
        <w:rPr>
          <w:rFonts w:asciiTheme="majorHAnsi" w:hAnsiTheme="majorHAnsi" w:cstheme="majorHAnsi"/>
          <w:sz w:val="24"/>
          <w:szCs w:val="24"/>
        </w:rPr>
        <w:t>to 3 months old</w:t>
      </w:r>
    </w:p>
    <w:p w14:paraId="1D883F9A" w14:textId="708D3A96" w:rsidR="00960CD6" w:rsidRPr="00460114" w:rsidRDefault="0059126F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Non-local E</w:t>
      </w:r>
      <w:r w:rsidR="00A17502" w:rsidRPr="004C40D3">
        <w:rPr>
          <w:rFonts w:asciiTheme="majorHAnsi" w:hAnsiTheme="majorHAnsi" w:cstheme="majorHAnsi"/>
          <w:b/>
          <w:sz w:val="24"/>
          <w:szCs w:val="24"/>
        </w:rPr>
        <w:t>nrolment</w:t>
      </w:r>
      <w:r w:rsidRPr="004C40D3">
        <w:rPr>
          <w:rFonts w:asciiTheme="majorHAnsi" w:hAnsiTheme="majorHAnsi" w:cstheme="majorHAnsi"/>
          <w:b/>
          <w:sz w:val="24"/>
          <w:szCs w:val="24"/>
        </w:rPr>
        <w:t xml:space="preserve"> Process:</w:t>
      </w:r>
    </w:p>
    <w:p w14:paraId="0EFCACD2" w14:textId="77777777" w:rsidR="00ED4378" w:rsidRPr="004C40D3" w:rsidRDefault="00960CD6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lastRenderedPageBreak/>
        <w:t>Parents/carers living outside of Wallsend South P</w:t>
      </w:r>
      <w:r w:rsidR="00761E5D" w:rsidRPr="004C40D3">
        <w:rPr>
          <w:rFonts w:asciiTheme="majorHAnsi" w:hAnsiTheme="majorHAnsi" w:cstheme="majorHAnsi"/>
          <w:sz w:val="24"/>
          <w:szCs w:val="24"/>
        </w:rPr>
        <w:t>ublic School’s local intake area</w:t>
      </w:r>
      <w:r w:rsidRPr="004C40D3">
        <w:rPr>
          <w:rFonts w:asciiTheme="majorHAnsi" w:hAnsiTheme="majorHAnsi" w:cstheme="majorHAnsi"/>
          <w:sz w:val="24"/>
          <w:szCs w:val="24"/>
        </w:rPr>
        <w:t xml:space="preserve"> may apply to enrol their child althou</w:t>
      </w:r>
      <w:r w:rsidR="005C389E" w:rsidRPr="004C40D3">
        <w:rPr>
          <w:rFonts w:asciiTheme="majorHAnsi" w:hAnsiTheme="majorHAnsi" w:cstheme="majorHAnsi"/>
          <w:sz w:val="24"/>
          <w:szCs w:val="24"/>
        </w:rPr>
        <w:t>gh this is subject to Wallsend South</w:t>
      </w:r>
      <w:r w:rsidRPr="004C40D3">
        <w:rPr>
          <w:rFonts w:asciiTheme="majorHAnsi" w:hAnsiTheme="majorHAnsi" w:cstheme="majorHAnsi"/>
          <w:sz w:val="24"/>
          <w:szCs w:val="24"/>
        </w:rPr>
        <w:t xml:space="preserve">’s </w:t>
      </w:r>
      <w:r w:rsidR="00761E5D" w:rsidRPr="004C40D3">
        <w:rPr>
          <w:rFonts w:asciiTheme="majorHAnsi" w:hAnsiTheme="majorHAnsi" w:cstheme="majorHAnsi"/>
          <w:sz w:val="24"/>
          <w:szCs w:val="24"/>
        </w:rPr>
        <w:t xml:space="preserve">student </w:t>
      </w:r>
      <w:r w:rsidRPr="004C40D3">
        <w:rPr>
          <w:rFonts w:asciiTheme="majorHAnsi" w:hAnsiTheme="majorHAnsi" w:cstheme="majorHAnsi"/>
          <w:sz w:val="24"/>
          <w:szCs w:val="24"/>
        </w:rPr>
        <w:t xml:space="preserve">enrolment cap </w:t>
      </w:r>
      <w:r w:rsidR="00E97374">
        <w:rPr>
          <w:rFonts w:asciiTheme="majorHAnsi" w:hAnsiTheme="majorHAnsi" w:cstheme="majorHAnsi"/>
          <w:sz w:val="24"/>
          <w:szCs w:val="24"/>
        </w:rPr>
        <w:t>(</w:t>
      </w:r>
      <w:r w:rsidR="00EE08FA">
        <w:rPr>
          <w:rFonts w:asciiTheme="majorHAnsi" w:hAnsiTheme="majorHAnsi" w:cstheme="majorHAnsi"/>
          <w:sz w:val="24"/>
          <w:szCs w:val="24"/>
        </w:rPr>
        <w:t>capacity)</w:t>
      </w:r>
      <w:r w:rsidRPr="004C40D3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E7EBEC5" w14:textId="77777777" w:rsidR="00960CD6" w:rsidRPr="004C40D3" w:rsidRDefault="005C389E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A</w:t>
      </w:r>
      <w:r w:rsidR="00960CD6" w:rsidRPr="004C40D3">
        <w:rPr>
          <w:rFonts w:asciiTheme="majorHAnsi" w:hAnsiTheme="majorHAnsi" w:cstheme="majorHAnsi"/>
          <w:sz w:val="24"/>
          <w:szCs w:val="24"/>
        </w:rPr>
        <w:t xml:space="preserve"> number of </w:t>
      </w:r>
      <w:r w:rsidR="00E97374">
        <w:rPr>
          <w:rFonts w:asciiTheme="majorHAnsi" w:hAnsiTheme="majorHAnsi" w:cstheme="majorHAnsi"/>
          <w:sz w:val="24"/>
          <w:szCs w:val="24"/>
        </w:rPr>
        <w:t xml:space="preserve">local </w:t>
      </w:r>
      <w:r w:rsidR="00960CD6" w:rsidRPr="004C40D3">
        <w:rPr>
          <w:rFonts w:asciiTheme="majorHAnsi" w:hAnsiTheme="majorHAnsi" w:cstheme="majorHAnsi"/>
          <w:sz w:val="24"/>
          <w:szCs w:val="24"/>
        </w:rPr>
        <w:t>enrolment places</w:t>
      </w:r>
      <w:r w:rsidR="00ED4378" w:rsidRPr="004C40D3">
        <w:rPr>
          <w:rFonts w:asciiTheme="majorHAnsi" w:hAnsiTheme="majorHAnsi" w:cstheme="majorHAnsi"/>
          <w:sz w:val="24"/>
          <w:szCs w:val="24"/>
        </w:rPr>
        <w:t xml:space="preserve"> (buffer)</w:t>
      </w:r>
      <w:r w:rsidR="00960CD6" w:rsidRPr="004C40D3">
        <w:rPr>
          <w:rFonts w:asciiTheme="majorHAnsi" w:hAnsiTheme="majorHAnsi" w:cstheme="majorHAnsi"/>
          <w:sz w:val="24"/>
          <w:szCs w:val="24"/>
        </w:rPr>
        <w:t xml:space="preserve"> </w:t>
      </w:r>
      <w:r w:rsidRPr="004C40D3">
        <w:rPr>
          <w:rFonts w:asciiTheme="majorHAnsi" w:hAnsiTheme="majorHAnsi" w:cstheme="majorHAnsi"/>
          <w:sz w:val="24"/>
          <w:szCs w:val="24"/>
        </w:rPr>
        <w:t>are</w:t>
      </w:r>
      <w:r w:rsidR="00960CD6" w:rsidRPr="004C40D3">
        <w:rPr>
          <w:rFonts w:asciiTheme="majorHAnsi" w:hAnsiTheme="majorHAnsi" w:cstheme="majorHAnsi"/>
          <w:sz w:val="24"/>
          <w:szCs w:val="24"/>
        </w:rPr>
        <w:t xml:space="preserve"> </w:t>
      </w:r>
      <w:r w:rsidR="00E97374">
        <w:rPr>
          <w:rFonts w:asciiTheme="majorHAnsi" w:hAnsiTheme="majorHAnsi" w:cstheme="majorHAnsi"/>
          <w:sz w:val="24"/>
          <w:szCs w:val="24"/>
        </w:rPr>
        <w:t>reserved</w:t>
      </w:r>
      <w:r w:rsidR="00960CD6" w:rsidRPr="004C40D3">
        <w:rPr>
          <w:rFonts w:asciiTheme="majorHAnsi" w:hAnsiTheme="majorHAnsi" w:cstheme="majorHAnsi"/>
          <w:sz w:val="24"/>
          <w:szCs w:val="24"/>
        </w:rPr>
        <w:t xml:space="preserve"> for local</w:t>
      </w:r>
      <w:r w:rsidR="00E97374">
        <w:rPr>
          <w:rFonts w:asciiTheme="majorHAnsi" w:hAnsiTheme="majorHAnsi" w:cstheme="majorHAnsi"/>
          <w:sz w:val="24"/>
          <w:szCs w:val="24"/>
        </w:rPr>
        <w:t xml:space="preserve"> area </w:t>
      </w:r>
      <w:r w:rsidR="00960CD6" w:rsidRPr="004C40D3">
        <w:rPr>
          <w:rFonts w:asciiTheme="majorHAnsi" w:hAnsiTheme="majorHAnsi" w:cstheme="majorHAnsi"/>
          <w:sz w:val="24"/>
          <w:szCs w:val="24"/>
        </w:rPr>
        <w:t>students arriving throughout the year.</w:t>
      </w:r>
      <w:r w:rsidR="00E97374">
        <w:rPr>
          <w:rFonts w:asciiTheme="majorHAnsi" w:hAnsiTheme="majorHAnsi" w:cstheme="majorHAnsi"/>
          <w:sz w:val="24"/>
          <w:szCs w:val="24"/>
        </w:rPr>
        <w:t xml:space="preserve"> The buffer number is based on historical data and is reviewed annually so is subject to change.</w:t>
      </w:r>
      <w:r w:rsidR="00960CD6" w:rsidRPr="004C40D3">
        <w:rPr>
          <w:rFonts w:asciiTheme="majorHAnsi" w:hAnsiTheme="majorHAnsi" w:cstheme="majorHAnsi"/>
          <w:sz w:val="24"/>
          <w:szCs w:val="24"/>
        </w:rPr>
        <w:t xml:space="preserve">  </w:t>
      </w:r>
      <w:r w:rsidR="00A17502" w:rsidRPr="00E97374">
        <w:rPr>
          <w:rFonts w:asciiTheme="majorHAnsi" w:hAnsiTheme="majorHAnsi" w:cstheme="majorHAnsi"/>
          <w:b/>
          <w:i/>
          <w:sz w:val="24"/>
          <w:szCs w:val="24"/>
        </w:rPr>
        <w:t>At Wallsend South the enrolment cap is 557 with an additional buffer of 15 places for local</w:t>
      </w:r>
      <w:r w:rsidR="00E97374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A17502" w:rsidRPr="00E97374">
        <w:rPr>
          <w:rFonts w:asciiTheme="majorHAnsi" w:hAnsiTheme="majorHAnsi" w:cstheme="majorHAnsi"/>
          <w:b/>
          <w:i/>
          <w:sz w:val="24"/>
          <w:szCs w:val="24"/>
        </w:rPr>
        <w:t>enrolments.</w:t>
      </w:r>
      <w:r w:rsidR="00A17502" w:rsidRPr="004C40D3">
        <w:rPr>
          <w:rFonts w:asciiTheme="majorHAnsi" w:hAnsiTheme="majorHAnsi" w:cstheme="majorHAnsi"/>
          <w:sz w:val="24"/>
          <w:szCs w:val="24"/>
        </w:rPr>
        <w:t xml:space="preserve">  </w:t>
      </w:r>
      <w:r w:rsidR="00E97374">
        <w:rPr>
          <w:rFonts w:asciiTheme="majorHAnsi" w:hAnsiTheme="majorHAnsi" w:cstheme="majorHAnsi"/>
          <w:sz w:val="24"/>
          <w:szCs w:val="24"/>
        </w:rPr>
        <w:t>If enrolment reaches 557 students, Wallsend South Public School is unable to enrol non-local students.</w:t>
      </w:r>
    </w:p>
    <w:p w14:paraId="2F69542C" w14:textId="6478503B" w:rsidR="0059126F" w:rsidRPr="004C40D3" w:rsidRDefault="0059126F" w:rsidP="00761E5D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 xml:space="preserve">Where non-local enrolment </w:t>
      </w:r>
      <w:r w:rsidR="005C389E" w:rsidRPr="004C40D3">
        <w:rPr>
          <w:rFonts w:asciiTheme="majorHAnsi" w:hAnsiTheme="majorHAnsi" w:cstheme="majorHAnsi"/>
          <w:sz w:val="24"/>
          <w:szCs w:val="24"/>
        </w:rPr>
        <w:t>applications exceed</w:t>
      </w:r>
      <w:r w:rsidRPr="004C40D3">
        <w:rPr>
          <w:rFonts w:asciiTheme="majorHAnsi" w:hAnsiTheme="majorHAnsi" w:cstheme="majorHAnsi"/>
          <w:sz w:val="24"/>
          <w:szCs w:val="24"/>
        </w:rPr>
        <w:t xml:space="preserve"> available p</w:t>
      </w:r>
      <w:r w:rsidR="00E97374">
        <w:rPr>
          <w:rFonts w:asciiTheme="majorHAnsi" w:hAnsiTheme="majorHAnsi" w:cstheme="majorHAnsi"/>
          <w:sz w:val="24"/>
          <w:szCs w:val="24"/>
        </w:rPr>
        <w:t>laces</w:t>
      </w:r>
      <w:r w:rsidRPr="004C40D3">
        <w:rPr>
          <w:rFonts w:asciiTheme="majorHAnsi" w:hAnsiTheme="majorHAnsi" w:cstheme="majorHAnsi"/>
          <w:sz w:val="24"/>
          <w:szCs w:val="24"/>
        </w:rPr>
        <w:t>,</w:t>
      </w:r>
      <w:r w:rsidR="00E97374">
        <w:rPr>
          <w:rFonts w:asciiTheme="majorHAnsi" w:hAnsiTheme="majorHAnsi" w:cstheme="majorHAnsi"/>
          <w:sz w:val="24"/>
          <w:szCs w:val="24"/>
        </w:rPr>
        <w:t xml:space="preserve"> an enrolment panel will be formed to consider </w:t>
      </w:r>
      <w:r w:rsidRPr="004C40D3">
        <w:rPr>
          <w:rFonts w:asciiTheme="majorHAnsi" w:hAnsiTheme="majorHAnsi" w:cstheme="majorHAnsi"/>
          <w:sz w:val="24"/>
          <w:szCs w:val="24"/>
        </w:rPr>
        <w:t xml:space="preserve">non-local criteria </w:t>
      </w:r>
      <w:r w:rsidR="005C389E" w:rsidRPr="004C40D3">
        <w:rPr>
          <w:rFonts w:asciiTheme="majorHAnsi" w:hAnsiTheme="majorHAnsi" w:cstheme="majorHAnsi"/>
          <w:sz w:val="24"/>
          <w:szCs w:val="24"/>
        </w:rPr>
        <w:t>ad</w:t>
      </w:r>
      <w:r w:rsidR="00231221">
        <w:rPr>
          <w:rFonts w:asciiTheme="majorHAnsi" w:hAnsiTheme="majorHAnsi" w:cstheme="majorHAnsi"/>
          <w:sz w:val="24"/>
          <w:szCs w:val="24"/>
        </w:rPr>
        <w:t>dressed in the online enrolment</w:t>
      </w:r>
      <w:r w:rsidR="00E97374">
        <w:rPr>
          <w:rFonts w:asciiTheme="majorHAnsi" w:hAnsiTheme="majorHAnsi" w:cstheme="majorHAnsi"/>
          <w:sz w:val="24"/>
          <w:szCs w:val="24"/>
        </w:rPr>
        <w:t xml:space="preserve"> form</w:t>
      </w:r>
      <w:r w:rsidR="00001DF9" w:rsidRPr="004C40D3">
        <w:rPr>
          <w:rFonts w:asciiTheme="majorHAnsi" w:hAnsiTheme="majorHAnsi" w:cstheme="majorHAnsi"/>
          <w:sz w:val="24"/>
          <w:szCs w:val="24"/>
        </w:rPr>
        <w:t>.</w:t>
      </w:r>
      <w:r w:rsidR="00E97374">
        <w:rPr>
          <w:rFonts w:asciiTheme="majorHAnsi" w:hAnsiTheme="majorHAnsi" w:cstheme="majorHAnsi"/>
          <w:sz w:val="24"/>
          <w:szCs w:val="24"/>
        </w:rPr>
        <w:t xml:space="preserve"> </w:t>
      </w:r>
      <w:r w:rsidR="00F840C2">
        <w:rPr>
          <w:rFonts w:asciiTheme="majorHAnsi" w:hAnsiTheme="majorHAnsi" w:cstheme="majorHAnsi"/>
          <w:sz w:val="24"/>
          <w:szCs w:val="24"/>
        </w:rPr>
        <w:t>Please contact the school office for application closing dates.</w:t>
      </w:r>
    </w:p>
    <w:p w14:paraId="76CEF632" w14:textId="77777777" w:rsidR="00001DF9" w:rsidRPr="004C40D3" w:rsidRDefault="00001DF9" w:rsidP="00460114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Non-local enrolment application</w:t>
      </w:r>
    </w:p>
    <w:p w14:paraId="7CC7D0AD" w14:textId="33775880" w:rsidR="00001DF9" w:rsidRPr="004C40D3" w:rsidRDefault="00231221" w:rsidP="00460114">
      <w:pPr>
        <w:pStyle w:val="ListParagraph"/>
        <w:spacing w:after="0"/>
        <w:ind w:left="0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From 2023, the school accepts online non-local applications as part of the online enrolment process</w:t>
      </w:r>
      <w:r w:rsidR="00ED4378" w:rsidRPr="004C40D3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i/>
          <w:sz w:val="24"/>
          <w:szCs w:val="24"/>
        </w:rPr>
        <w:t>Your enrolment application</w:t>
      </w:r>
      <w:r w:rsidR="00ED4378" w:rsidRPr="004C40D3">
        <w:rPr>
          <w:rFonts w:asciiTheme="majorHAnsi" w:hAnsiTheme="majorHAnsi" w:cstheme="majorHAnsi"/>
          <w:i/>
          <w:sz w:val="24"/>
          <w:szCs w:val="24"/>
        </w:rPr>
        <w:t xml:space="preserve"> must address the following criteria </w:t>
      </w:r>
      <w:r w:rsidR="005C389E" w:rsidRPr="004C40D3">
        <w:rPr>
          <w:rFonts w:asciiTheme="majorHAnsi" w:hAnsiTheme="majorHAnsi" w:cstheme="majorHAnsi"/>
          <w:i/>
          <w:sz w:val="24"/>
          <w:szCs w:val="24"/>
        </w:rPr>
        <w:t>as this is the only information that</w:t>
      </w:r>
      <w:r w:rsidR="00EE08FA">
        <w:rPr>
          <w:rFonts w:asciiTheme="majorHAnsi" w:hAnsiTheme="majorHAnsi" w:cstheme="majorHAnsi"/>
          <w:i/>
          <w:sz w:val="24"/>
          <w:szCs w:val="24"/>
        </w:rPr>
        <w:t xml:space="preserve"> will be considered</w:t>
      </w:r>
      <w:r w:rsidR="00ED4378" w:rsidRPr="004C40D3">
        <w:rPr>
          <w:rFonts w:asciiTheme="majorHAnsi" w:hAnsiTheme="majorHAnsi" w:cstheme="majorHAnsi"/>
          <w:i/>
          <w:sz w:val="24"/>
          <w:szCs w:val="24"/>
        </w:rPr>
        <w:t>.</w:t>
      </w:r>
    </w:p>
    <w:p w14:paraId="189D6813" w14:textId="77777777" w:rsidR="00ED4378" w:rsidRPr="004C40D3" w:rsidRDefault="00ED4378" w:rsidP="000E0EB1">
      <w:pPr>
        <w:pStyle w:val="ListParagraph"/>
        <w:ind w:left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C40D3">
        <w:rPr>
          <w:rFonts w:asciiTheme="majorHAnsi" w:hAnsiTheme="majorHAnsi" w:cstheme="majorHAnsi"/>
          <w:sz w:val="24"/>
          <w:szCs w:val="24"/>
          <w:u w:val="single"/>
        </w:rPr>
        <w:t>Criteria</w:t>
      </w:r>
      <w:r w:rsidR="007D1BAB" w:rsidRPr="004C40D3">
        <w:rPr>
          <w:rFonts w:asciiTheme="majorHAnsi" w:hAnsiTheme="majorHAnsi" w:cstheme="majorHAnsi"/>
          <w:sz w:val="24"/>
          <w:szCs w:val="24"/>
          <w:u w:val="single"/>
        </w:rPr>
        <w:t xml:space="preserve"> – ranked in order of priority</w:t>
      </w:r>
    </w:p>
    <w:p w14:paraId="69AE51AE" w14:textId="3146AF32" w:rsidR="00ED4378" w:rsidRPr="004C40D3" w:rsidRDefault="007D1BAB" w:rsidP="007D1BAB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1</w:t>
      </w:r>
      <w:r w:rsidRPr="004C40D3">
        <w:rPr>
          <w:rFonts w:asciiTheme="majorHAnsi" w:hAnsiTheme="majorHAnsi" w:cstheme="majorHAnsi"/>
          <w:sz w:val="24"/>
          <w:szCs w:val="24"/>
        </w:rPr>
        <w:tab/>
      </w:r>
      <w:r w:rsidR="00ED4378" w:rsidRPr="004C40D3">
        <w:rPr>
          <w:rFonts w:asciiTheme="majorHAnsi" w:hAnsiTheme="majorHAnsi" w:cstheme="majorHAnsi"/>
          <w:sz w:val="24"/>
          <w:szCs w:val="24"/>
        </w:rPr>
        <w:t>Siblings already enrolled at the school</w:t>
      </w:r>
      <w:r w:rsidR="00F840C2">
        <w:rPr>
          <w:rFonts w:asciiTheme="majorHAnsi" w:hAnsiTheme="majorHAnsi" w:cstheme="majorHAnsi"/>
          <w:sz w:val="24"/>
          <w:szCs w:val="24"/>
        </w:rPr>
        <w:t>.</w:t>
      </w:r>
    </w:p>
    <w:p w14:paraId="5F806390" w14:textId="74CE8163" w:rsidR="00ED4378" w:rsidRPr="004C40D3" w:rsidRDefault="007D1BAB" w:rsidP="00F840C2">
      <w:pPr>
        <w:pStyle w:val="ListParagraph"/>
        <w:ind w:left="1440" w:hanging="72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2</w:t>
      </w:r>
      <w:r w:rsidRPr="004C40D3">
        <w:rPr>
          <w:rFonts w:asciiTheme="majorHAnsi" w:hAnsiTheme="majorHAnsi" w:cstheme="majorHAnsi"/>
          <w:sz w:val="24"/>
          <w:szCs w:val="24"/>
        </w:rPr>
        <w:tab/>
      </w:r>
      <w:r w:rsidR="001C170D" w:rsidRPr="004C40D3">
        <w:rPr>
          <w:rFonts w:asciiTheme="majorHAnsi" w:hAnsiTheme="majorHAnsi" w:cstheme="majorHAnsi"/>
          <w:sz w:val="24"/>
          <w:szCs w:val="24"/>
        </w:rPr>
        <w:t>Structure and organisation of the school</w:t>
      </w:r>
      <w:r w:rsidR="00F840C2">
        <w:rPr>
          <w:rFonts w:asciiTheme="majorHAnsi" w:hAnsiTheme="majorHAnsi" w:cstheme="majorHAnsi"/>
          <w:sz w:val="24"/>
          <w:szCs w:val="24"/>
        </w:rPr>
        <w:t xml:space="preserve"> – the school considers cohort numbers in relation to class size and overall cohort numbers.</w:t>
      </w:r>
    </w:p>
    <w:p w14:paraId="5B7885F8" w14:textId="7FBBF14B" w:rsidR="001C170D" w:rsidRPr="004C40D3" w:rsidRDefault="007D1BAB" w:rsidP="001C170D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3</w:t>
      </w:r>
      <w:r w:rsidRPr="004C40D3">
        <w:rPr>
          <w:rFonts w:asciiTheme="majorHAnsi" w:hAnsiTheme="majorHAnsi" w:cstheme="majorHAnsi"/>
          <w:sz w:val="24"/>
          <w:szCs w:val="24"/>
        </w:rPr>
        <w:tab/>
      </w:r>
      <w:r w:rsidR="001C170D" w:rsidRPr="004C40D3">
        <w:rPr>
          <w:rFonts w:asciiTheme="majorHAnsi" w:hAnsiTheme="majorHAnsi" w:cstheme="majorHAnsi"/>
          <w:sz w:val="24"/>
          <w:szCs w:val="24"/>
        </w:rPr>
        <w:t>Safety and supervision of the student before and after school</w:t>
      </w:r>
      <w:r w:rsidR="00F840C2">
        <w:rPr>
          <w:rFonts w:asciiTheme="majorHAnsi" w:hAnsiTheme="majorHAnsi" w:cstheme="majorHAnsi"/>
          <w:sz w:val="24"/>
          <w:szCs w:val="24"/>
        </w:rPr>
        <w:t>.</w:t>
      </w:r>
    </w:p>
    <w:p w14:paraId="39B86232" w14:textId="6824CC2B" w:rsidR="007D1BAB" w:rsidRPr="004C40D3" w:rsidRDefault="007D1BAB" w:rsidP="001C170D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4</w:t>
      </w:r>
      <w:r w:rsidRPr="004C40D3">
        <w:rPr>
          <w:rFonts w:asciiTheme="majorHAnsi" w:hAnsiTheme="majorHAnsi" w:cstheme="majorHAnsi"/>
          <w:sz w:val="24"/>
          <w:szCs w:val="24"/>
        </w:rPr>
        <w:tab/>
      </w:r>
      <w:r w:rsidR="001C170D" w:rsidRPr="004C40D3">
        <w:rPr>
          <w:rFonts w:asciiTheme="majorHAnsi" w:hAnsiTheme="majorHAnsi" w:cstheme="majorHAnsi"/>
          <w:sz w:val="24"/>
          <w:szCs w:val="24"/>
        </w:rPr>
        <w:t>Compassionate circumstances</w:t>
      </w:r>
      <w:r w:rsidR="00F840C2">
        <w:rPr>
          <w:rFonts w:asciiTheme="majorHAnsi" w:hAnsiTheme="majorHAnsi" w:cstheme="majorHAnsi"/>
          <w:sz w:val="24"/>
          <w:szCs w:val="24"/>
        </w:rPr>
        <w:t>.</w:t>
      </w:r>
    </w:p>
    <w:p w14:paraId="719BEF9A" w14:textId="048AF810" w:rsidR="007D1BAB" w:rsidRDefault="007D1BAB" w:rsidP="007D1BAB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 xml:space="preserve">Priority will be given to siblings of currently </w:t>
      </w:r>
      <w:r w:rsidR="005C389E" w:rsidRPr="004C40D3">
        <w:rPr>
          <w:rFonts w:asciiTheme="majorHAnsi" w:hAnsiTheme="majorHAnsi" w:cstheme="majorHAnsi"/>
          <w:sz w:val="24"/>
          <w:szCs w:val="24"/>
        </w:rPr>
        <w:t>enrolled students</w:t>
      </w:r>
      <w:r w:rsidR="00F840C2">
        <w:rPr>
          <w:rFonts w:asciiTheme="majorHAnsi" w:hAnsiTheme="majorHAnsi" w:cstheme="majorHAnsi"/>
          <w:sz w:val="24"/>
          <w:szCs w:val="24"/>
        </w:rPr>
        <w:t xml:space="preserve"> although </w:t>
      </w:r>
      <w:r w:rsidR="00A55950">
        <w:rPr>
          <w:rFonts w:asciiTheme="majorHAnsi" w:hAnsiTheme="majorHAnsi" w:cstheme="majorHAnsi"/>
          <w:sz w:val="24"/>
          <w:szCs w:val="24"/>
        </w:rPr>
        <w:t>th</w:t>
      </w:r>
      <w:r w:rsidR="00F840C2">
        <w:rPr>
          <w:rFonts w:asciiTheme="majorHAnsi" w:hAnsiTheme="majorHAnsi" w:cstheme="majorHAnsi"/>
          <w:sz w:val="24"/>
          <w:szCs w:val="24"/>
        </w:rPr>
        <w:t>is does not guarantee an enrolment offer</w:t>
      </w:r>
      <w:r w:rsidRPr="004C40D3">
        <w:rPr>
          <w:rFonts w:asciiTheme="majorHAnsi" w:hAnsiTheme="majorHAnsi" w:cstheme="majorHAnsi"/>
          <w:sz w:val="24"/>
          <w:szCs w:val="24"/>
        </w:rPr>
        <w:t>.</w:t>
      </w:r>
      <w:r w:rsidR="00F840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5B3991" w14:textId="7E5E3731" w:rsidR="00231221" w:rsidRPr="004C40D3" w:rsidRDefault="00231221" w:rsidP="007D1BA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Additional and supporting documentation for your child (that further supports consideration of the priority areas) can be provided to school prior to the application closing date.</w:t>
      </w:r>
    </w:p>
    <w:p w14:paraId="0643E62D" w14:textId="77777777" w:rsidR="007D1BAB" w:rsidRPr="004C40D3" w:rsidRDefault="000952C3" w:rsidP="00460114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Enrolment Panel</w:t>
      </w:r>
    </w:p>
    <w:p w14:paraId="75E2104E" w14:textId="77777777" w:rsidR="000952C3" w:rsidRPr="004C40D3" w:rsidRDefault="000952C3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The enrolment panel consists of</w:t>
      </w:r>
      <w:r w:rsidR="004A53F1" w:rsidRPr="004C40D3">
        <w:rPr>
          <w:rFonts w:asciiTheme="majorHAnsi" w:hAnsiTheme="majorHAnsi" w:cstheme="majorHAnsi"/>
          <w:sz w:val="24"/>
          <w:szCs w:val="24"/>
        </w:rPr>
        <w:t>;</w:t>
      </w:r>
      <w:r w:rsidRPr="004C40D3">
        <w:rPr>
          <w:rFonts w:asciiTheme="majorHAnsi" w:hAnsiTheme="majorHAnsi" w:cstheme="majorHAnsi"/>
          <w:sz w:val="24"/>
          <w:szCs w:val="24"/>
        </w:rPr>
        <w:t xml:space="preserve"> an executive staff member, one teacher nominated by the principal and one parent representative nominated by the school’s parent organisation.  The principal is not on the panel.</w:t>
      </w:r>
    </w:p>
    <w:p w14:paraId="7C9876DE" w14:textId="01DE5FD3" w:rsidR="000952C3" w:rsidRPr="004C40D3" w:rsidRDefault="00EE08FA" w:rsidP="007D1BA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panel</w:t>
      </w:r>
      <w:r>
        <w:rPr>
          <w:rFonts w:asciiTheme="majorHAnsi" w:hAnsiTheme="majorHAnsi" w:cstheme="majorHAnsi"/>
          <w:i/>
          <w:sz w:val="24"/>
          <w:szCs w:val="24"/>
        </w:rPr>
        <w:t xml:space="preserve"> only considers the</w:t>
      </w:r>
      <w:r w:rsidR="000952C3" w:rsidRPr="004C40D3">
        <w:rPr>
          <w:rFonts w:asciiTheme="majorHAnsi" w:hAnsiTheme="majorHAnsi" w:cstheme="majorHAnsi"/>
          <w:i/>
          <w:sz w:val="24"/>
          <w:szCs w:val="24"/>
        </w:rPr>
        <w:t xml:space="preserve"> information and supporting documentation presen</w:t>
      </w:r>
      <w:r w:rsidR="00231221">
        <w:rPr>
          <w:rFonts w:asciiTheme="majorHAnsi" w:hAnsiTheme="majorHAnsi" w:cstheme="majorHAnsi"/>
          <w:i/>
          <w:sz w:val="24"/>
          <w:szCs w:val="24"/>
        </w:rPr>
        <w:t>ted in the enrolment form or any additional documentation provided before the closing date</w:t>
      </w:r>
      <w:r w:rsidR="000952C3" w:rsidRPr="004C40D3">
        <w:rPr>
          <w:rFonts w:asciiTheme="majorHAnsi" w:hAnsiTheme="majorHAnsi" w:cstheme="majorHAnsi"/>
          <w:sz w:val="24"/>
          <w:szCs w:val="24"/>
        </w:rPr>
        <w:t>.</w:t>
      </w:r>
      <w:r w:rsidR="007401C5" w:rsidRPr="004C40D3">
        <w:rPr>
          <w:rFonts w:asciiTheme="majorHAnsi" w:hAnsiTheme="majorHAnsi" w:cstheme="majorHAnsi"/>
          <w:sz w:val="24"/>
          <w:szCs w:val="24"/>
        </w:rPr>
        <w:t xml:space="preserve"> </w:t>
      </w:r>
      <w:r w:rsidR="00231221">
        <w:rPr>
          <w:rFonts w:asciiTheme="majorHAnsi" w:hAnsiTheme="majorHAnsi" w:cstheme="majorHAnsi"/>
          <w:sz w:val="24"/>
          <w:szCs w:val="24"/>
        </w:rPr>
        <w:t>Requests to include further</w:t>
      </w:r>
      <w:r w:rsidR="00F840C2">
        <w:rPr>
          <w:rFonts w:asciiTheme="majorHAnsi" w:hAnsiTheme="majorHAnsi" w:cstheme="majorHAnsi"/>
          <w:sz w:val="24"/>
          <w:szCs w:val="24"/>
        </w:rPr>
        <w:t xml:space="preserve"> information after the panel has convened will not be accepted or considered.</w:t>
      </w:r>
    </w:p>
    <w:p w14:paraId="001530A4" w14:textId="77777777" w:rsidR="007401C5" w:rsidRPr="004C40D3" w:rsidRDefault="007401C5" w:rsidP="007D1BAB">
      <w:pPr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 xml:space="preserve">The school will inform parents/carers of the </w:t>
      </w:r>
      <w:r w:rsidR="004A53F1" w:rsidRPr="004C40D3">
        <w:rPr>
          <w:rFonts w:asciiTheme="majorHAnsi" w:hAnsiTheme="majorHAnsi" w:cstheme="majorHAnsi"/>
          <w:sz w:val="24"/>
          <w:szCs w:val="24"/>
        </w:rPr>
        <w:t>outcome</w:t>
      </w:r>
      <w:r w:rsidRPr="004C40D3">
        <w:rPr>
          <w:rFonts w:asciiTheme="majorHAnsi" w:hAnsiTheme="majorHAnsi" w:cstheme="majorHAnsi"/>
          <w:sz w:val="24"/>
          <w:szCs w:val="24"/>
        </w:rPr>
        <w:t xml:space="preserve"> of their application</w:t>
      </w:r>
      <w:r w:rsidR="004A53F1" w:rsidRPr="004C40D3">
        <w:rPr>
          <w:rFonts w:asciiTheme="majorHAnsi" w:hAnsiTheme="majorHAnsi" w:cstheme="majorHAnsi"/>
          <w:sz w:val="24"/>
          <w:szCs w:val="24"/>
        </w:rPr>
        <w:t xml:space="preserve"> in a timely manner</w:t>
      </w:r>
      <w:r w:rsidRPr="004C40D3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7F7BF25" w14:textId="77777777" w:rsidR="007401C5" w:rsidRPr="004C40D3" w:rsidRDefault="007401C5" w:rsidP="00460114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Waiting List</w:t>
      </w:r>
    </w:p>
    <w:p w14:paraId="066CD7CC" w14:textId="77777777" w:rsidR="007401C5" w:rsidRPr="004C40D3" w:rsidRDefault="007401C5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A waiting list may be created for non-local student</w:t>
      </w:r>
      <w:r w:rsidR="004A53F1" w:rsidRPr="004C40D3">
        <w:rPr>
          <w:rFonts w:asciiTheme="majorHAnsi" w:hAnsiTheme="majorHAnsi" w:cstheme="majorHAnsi"/>
          <w:sz w:val="24"/>
          <w:szCs w:val="24"/>
        </w:rPr>
        <w:t xml:space="preserve">s who are not offered </w:t>
      </w:r>
      <w:r w:rsidR="001E070B" w:rsidRPr="004C40D3">
        <w:rPr>
          <w:rFonts w:asciiTheme="majorHAnsi" w:hAnsiTheme="majorHAnsi" w:cstheme="majorHAnsi"/>
          <w:sz w:val="24"/>
          <w:szCs w:val="24"/>
        </w:rPr>
        <w:t>enrolment. The waiting list is determined by the panel.  Parents are advised in writing if their child is on the waiting</w:t>
      </w:r>
      <w:r w:rsidR="000E0EB1">
        <w:rPr>
          <w:rFonts w:asciiTheme="majorHAnsi" w:hAnsiTheme="majorHAnsi" w:cstheme="majorHAnsi"/>
          <w:sz w:val="24"/>
          <w:szCs w:val="24"/>
        </w:rPr>
        <w:t xml:space="preserve"> list and </w:t>
      </w:r>
      <w:r w:rsidR="00EE08FA">
        <w:rPr>
          <w:rFonts w:asciiTheme="majorHAnsi" w:hAnsiTheme="majorHAnsi" w:cstheme="majorHAnsi"/>
          <w:sz w:val="24"/>
          <w:szCs w:val="24"/>
        </w:rPr>
        <w:t xml:space="preserve">of </w:t>
      </w:r>
      <w:r w:rsidR="000E0EB1">
        <w:rPr>
          <w:rFonts w:asciiTheme="majorHAnsi" w:hAnsiTheme="majorHAnsi" w:cstheme="majorHAnsi"/>
          <w:sz w:val="24"/>
          <w:szCs w:val="24"/>
        </w:rPr>
        <w:t>their position</w:t>
      </w:r>
      <w:r w:rsidR="001E070B" w:rsidRPr="004C40D3">
        <w:rPr>
          <w:rFonts w:asciiTheme="majorHAnsi" w:hAnsiTheme="majorHAnsi" w:cstheme="majorHAnsi"/>
          <w:sz w:val="24"/>
          <w:szCs w:val="24"/>
        </w:rPr>
        <w:t xml:space="preserve"> on the list.</w:t>
      </w:r>
    </w:p>
    <w:p w14:paraId="189F56B3" w14:textId="77777777" w:rsidR="007401C5" w:rsidRPr="004C40D3" w:rsidRDefault="007401C5" w:rsidP="00460114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40D3">
        <w:rPr>
          <w:rFonts w:asciiTheme="majorHAnsi" w:hAnsiTheme="majorHAnsi" w:cstheme="majorHAnsi"/>
          <w:b/>
          <w:sz w:val="24"/>
          <w:szCs w:val="24"/>
        </w:rPr>
        <w:t>Appeals</w:t>
      </w:r>
    </w:p>
    <w:p w14:paraId="33CDBD3C" w14:textId="77777777" w:rsidR="004A53F1" w:rsidRPr="004C40D3" w:rsidRDefault="001E070B" w:rsidP="0046011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Unsuccessful applicants may lodge an appeal with</w:t>
      </w:r>
      <w:r w:rsidR="004A53F1" w:rsidRPr="004C40D3">
        <w:rPr>
          <w:rFonts w:asciiTheme="majorHAnsi" w:hAnsiTheme="majorHAnsi" w:cstheme="majorHAnsi"/>
          <w:sz w:val="24"/>
          <w:szCs w:val="24"/>
        </w:rPr>
        <w:t xml:space="preserve"> the principal.  </w:t>
      </w:r>
      <w:r w:rsidRPr="004C40D3">
        <w:rPr>
          <w:rFonts w:asciiTheme="majorHAnsi" w:hAnsiTheme="majorHAnsi" w:cstheme="majorHAnsi"/>
          <w:sz w:val="24"/>
          <w:szCs w:val="24"/>
        </w:rPr>
        <w:t xml:space="preserve">The appeal must be made in writing to the principal </w:t>
      </w:r>
      <w:r w:rsidR="00EE08FA">
        <w:rPr>
          <w:rFonts w:asciiTheme="majorHAnsi" w:hAnsiTheme="majorHAnsi" w:cstheme="majorHAnsi"/>
          <w:sz w:val="24"/>
          <w:szCs w:val="24"/>
        </w:rPr>
        <w:t xml:space="preserve">within 10 days of being informed, </w:t>
      </w:r>
      <w:r w:rsidRPr="004C40D3">
        <w:rPr>
          <w:rFonts w:asciiTheme="majorHAnsi" w:hAnsiTheme="majorHAnsi" w:cstheme="majorHAnsi"/>
          <w:sz w:val="24"/>
          <w:szCs w:val="24"/>
        </w:rPr>
        <w:t xml:space="preserve">stating the grounds for the appeal.  </w:t>
      </w:r>
      <w:r w:rsidR="004A53F1" w:rsidRPr="004C40D3">
        <w:rPr>
          <w:rFonts w:asciiTheme="majorHAnsi" w:hAnsiTheme="majorHAnsi" w:cstheme="majorHAnsi"/>
          <w:sz w:val="24"/>
          <w:szCs w:val="24"/>
        </w:rPr>
        <w:t xml:space="preserve">The </w:t>
      </w:r>
      <w:r w:rsidR="001C170D" w:rsidRPr="004C40D3">
        <w:rPr>
          <w:rFonts w:asciiTheme="majorHAnsi" w:hAnsiTheme="majorHAnsi" w:cstheme="majorHAnsi"/>
          <w:sz w:val="24"/>
          <w:szCs w:val="24"/>
        </w:rPr>
        <w:t>principal determines whether the panel has applied the stated criteria equitably and make</w:t>
      </w:r>
      <w:r w:rsidR="00EE08FA">
        <w:rPr>
          <w:rFonts w:asciiTheme="majorHAnsi" w:hAnsiTheme="majorHAnsi" w:cstheme="majorHAnsi"/>
          <w:sz w:val="24"/>
          <w:szCs w:val="24"/>
        </w:rPr>
        <w:t>s</w:t>
      </w:r>
      <w:r w:rsidR="001C170D" w:rsidRPr="004C40D3">
        <w:rPr>
          <w:rFonts w:asciiTheme="majorHAnsi" w:hAnsiTheme="majorHAnsi" w:cstheme="majorHAnsi"/>
          <w:sz w:val="24"/>
          <w:szCs w:val="24"/>
        </w:rPr>
        <w:t xml:space="preserve"> a determination. Parents will be advised of the outcome in writing.</w:t>
      </w:r>
    </w:p>
    <w:p w14:paraId="76E18714" w14:textId="77777777" w:rsidR="004A53F1" w:rsidRPr="004C40D3" w:rsidRDefault="004A53F1" w:rsidP="007D1BA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07F3C4" w14:textId="77777777" w:rsidR="002A7F12" w:rsidRPr="004C40D3" w:rsidRDefault="002A7F12" w:rsidP="002A7F1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Kelly Deakin</w:t>
      </w:r>
    </w:p>
    <w:p w14:paraId="12049573" w14:textId="2AFB2E18" w:rsidR="0074322C" w:rsidRDefault="002A7F12" w:rsidP="002A7F1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C40D3">
        <w:rPr>
          <w:rFonts w:asciiTheme="majorHAnsi" w:hAnsiTheme="majorHAnsi" w:cstheme="majorHAnsi"/>
          <w:sz w:val="24"/>
          <w:szCs w:val="24"/>
        </w:rPr>
        <w:t>Principal</w:t>
      </w:r>
      <w:bookmarkStart w:id="0" w:name="_GoBack"/>
      <w:bookmarkEnd w:id="0"/>
    </w:p>
    <w:p w14:paraId="54E61F2A" w14:textId="77777777" w:rsidR="0074322C" w:rsidRDefault="0074322C" w:rsidP="002A7F1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B46658D" w14:textId="77777777" w:rsidR="0074322C" w:rsidRDefault="0074322C" w:rsidP="0074322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Appendix 1 – WSPS Local Intake Area</w:t>
      </w:r>
    </w:p>
    <w:p w14:paraId="76B29D26" w14:textId="77777777" w:rsidR="0074322C" w:rsidRDefault="0074322C" w:rsidP="002A7F1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43AD38" w14:textId="77777777" w:rsidR="0074322C" w:rsidRPr="004C40D3" w:rsidRDefault="0074322C" w:rsidP="002A7F1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56F528C" wp14:editId="3ABE96C2">
            <wp:extent cx="6515100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2544" w14:textId="77777777" w:rsidR="0074322C" w:rsidRDefault="0074322C">
      <w:pPr>
        <w:rPr>
          <w:sz w:val="28"/>
          <w:szCs w:val="28"/>
        </w:rPr>
      </w:pPr>
      <w:r>
        <w:rPr>
          <w:sz w:val="28"/>
          <w:szCs w:val="28"/>
        </w:rPr>
        <w:t xml:space="preserve">Wallsend South Public School intake area is highlighted in blue in the above map.  </w:t>
      </w:r>
    </w:p>
    <w:p w14:paraId="3EF79F6F" w14:textId="77777777" w:rsidR="00673CB5" w:rsidRDefault="0003441A">
      <w:pPr>
        <w:rPr>
          <w:sz w:val="28"/>
          <w:szCs w:val="28"/>
        </w:rPr>
      </w:pPr>
      <w:r>
        <w:rPr>
          <w:sz w:val="28"/>
          <w:szCs w:val="28"/>
        </w:rPr>
        <w:t xml:space="preserve">Please use the </w:t>
      </w:r>
      <w:r w:rsidRPr="00F840C2">
        <w:rPr>
          <w:b/>
          <w:sz w:val="28"/>
          <w:szCs w:val="28"/>
        </w:rPr>
        <w:t>School Finder</w:t>
      </w:r>
      <w:r>
        <w:rPr>
          <w:sz w:val="28"/>
          <w:szCs w:val="28"/>
        </w:rPr>
        <w:t xml:space="preserve"> app which can be found on our website or on the NSW Department of Education website to search for your local school.</w:t>
      </w:r>
    </w:p>
    <w:p w14:paraId="3CAC3739" w14:textId="77777777" w:rsidR="0074322C" w:rsidRDefault="0074322C">
      <w:pPr>
        <w:rPr>
          <w:sz w:val="28"/>
          <w:szCs w:val="28"/>
        </w:rPr>
      </w:pPr>
    </w:p>
    <w:p w14:paraId="35CF4DA4" w14:textId="77777777" w:rsidR="0074322C" w:rsidRDefault="0074322C">
      <w:pPr>
        <w:rPr>
          <w:sz w:val="28"/>
          <w:szCs w:val="28"/>
        </w:rPr>
      </w:pPr>
    </w:p>
    <w:p w14:paraId="6CE24E70" w14:textId="77777777" w:rsidR="0074322C" w:rsidRPr="0047683B" w:rsidRDefault="0074322C" w:rsidP="006F226D">
      <w:pPr>
        <w:rPr>
          <w:sz w:val="28"/>
          <w:szCs w:val="28"/>
        </w:rPr>
      </w:pPr>
    </w:p>
    <w:sectPr w:rsidR="0074322C" w:rsidRPr="0047683B" w:rsidSect="0047683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7736" w14:textId="77777777" w:rsidR="000037A9" w:rsidRDefault="000037A9" w:rsidP="0047683B">
      <w:pPr>
        <w:spacing w:after="0" w:line="240" w:lineRule="auto"/>
      </w:pPr>
      <w:r>
        <w:separator/>
      </w:r>
    </w:p>
  </w:endnote>
  <w:endnote w:type="continuationSeparator" w:id="0">
    <w:p w14:paraId="772CEDA4" w14:textId="77777777" w:rsidR="000037A9" w:rsidRDefault="000037A9" w:rsidP="004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F150" w14:textId="77777777" w:rsidR="0047683B" w:rsidRDefault="0047683B">
    <w:pPr>
      <w:pStyle w:val="Footer"/>
    </w:pPr>
  </w:p>
  <w:p w14:paraId="34FB596A" w14:textId="77777777" w:rsidR="0047683B" w:rsidRDefault="0047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6E0C" w14:textId="77777777" w:rsidR="000037A9" w:rsidRDefault="000037A9" w:rsidP="0047683B">
      <w:pPr>
        <w:spacing w:after="0" w:line="240" w:lineRule="auto"/>
      </w:pPr>
      <w:r>
        <w:separator/>
      </w:r>
    </w:p>
  </w:footnote>
  <w:footnote w:type="continuationSeparator" w:id="0">
    <w:p w14:paraId="2711A6CD" w14:textId="77777777" w:rsidR="000037A9" w:rsidRDefault="000037A9" w:rsidP="0047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D943" w14:textId="07E45EE8" w:rsidR="005F4D49" w:rsidRDefault="00EE08FA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 xml:space="preserve">Policy reviewed: </w:t>
    </w:r>
    <w:sdt>
      <w:sdtPr>
        <w:rPr>
          <w:color w:val="5B9BD5" w:themeColor="accent1"/>
        </w:rPr>
        <w:alias w:val="Title"/>
        <w:tag w:val=""/>
        <w:id w:val="664756013"/>
        <w:placeholder>
          <w:docPart w:val="E64F8FDE21B043F9B27DC242399D1F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40C2">
          <w:rPr>
            <w:color w:val="5B9BD5" w:themeColor="accent1"/>
          </w:rPr>
          <w:t>15 MARCH 2023</w:t>
        </w:r>
      </w:sdtContent>
    </w:sdt>
  </w:p>
  <w:p w14:paraId="602597AF" w14:textId="77777777" w:rsidR="005F4D49" w:rsidRDefault="005F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698"/>
    <w:multiLevelType w:val="hybridMultilevel"/>
    <w:tmpl w:val="1124F5E8"/>
    <w:lvl w:ilvl="0" w:tplc="FC26D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A7A"/>
    <w:multiLevelType w:val="hybridMultilevel"/>
    <w:tmpl w:val="63F89F98"/>
    <w:lvl w:ilvl="0" w:tplc="025E4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936"/>
    <w:multiLevelType w:val="multilevel"/>
    <w:tmpl w:val="D3867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6F977AB"/>
    <w:multiLevelType w:val="hybridMultilevel"/>
    <w:tmpl w:val="57ACCD60"/>
    <w:lvl w:ilvl="0" w:tplc="E9249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1A3"/>
    <w:multiLevelType w:val="hybridMultilevel"/>
    <w:tmpl w:val="579084CE"/>
    <w:lvl w:ilvl="0" w:tplc="FD9ABC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3B"/>
    <w:rsid w:val="00001DF9"/>
    <w:rsid w:val="000037A9"/>
    <w:rsid w:val="0003441A"/>
    <w:rsid w:val="000952C3"/>
    <w:rsid w:val="00095974"/>
    <w:rsid w:val="000E0EB1"/>
    <w:rsid w:val="000E141A"/>
    <w:rsid w:val="001A29EE"/>
    <w:rsid w:val="001C170D"/>
    <w:rsid w:val="001E070B"/>
    <w:rsid w:val="001F414A"/>
    <w:rsid w:val="00231221"/>
    <w:rsid w:val="002A7F12"/>
    <w:rsid w:val="00373261"/>
    <w:rsid w:val="00460114"/>
    <w:rsid w:val="0047683B"/>
    <w:rsid w:val="004A53F1"/>
    <w:rsid w:val="004C40D3"/>
    <w:rsid w:val="0051147E"/>
    <w:rsid w:val="00565C13"/>
    <w:rsid w:val="0059126F"/>
    <w:rsid w:val="005C389E"/>
    <w:rsid w:val="005F4D49"/>
    <w:rsid w:val="00673CB5"/>
    <w:rsid w:val="006F226D"/>
    <w:rsid w:val="00725F2F"/>
    <w:rsid w:val="007401C5"/>
    <w:rsid w:val="0074232A"/>
    <w:rsid w:val="0074322C"/>
    <w:rsid w:val="00761E5D"/>
    <w:rsid w:val="007B42A6"/>
    <w:rsid w:val="007D1BAB"/>
    <w:rsid w:val="008A7B93"/>
    <w:rsid w:val="009231F4"/>
    <w:rsid w:val="00960CD6"/>
    <w:rsid w:val="00A17502"/>
    <w:rsid w:val="00A55950"/>
    <w:rsid w:val="00AA2311"/>
    <w:rsid w:val="00B66719"/>
    <w:rsid w:val="00BC53C4"/>
    <w:rsid w:val="00C040A1"/>
    <w:rsid w:val="00C57A4E"/>
    <w:rsid w:val="00C744CC"/>
    <w:rsid w:val="00C96521"/>
    <w:rsid w:val="00CA7A8E"/>
    <w:rsid w:val="00D054DA"/>
    <w:rsid w:val="00DB79EA"/>
    <w:rsid w:val="00E55738"/>
    <w:rsid w:val="00E647DC"/>
    <w:rsid w:val="00E97374"/>
    <w:rsid w:val="00ED4378"/>
    <w:rsid w:val="00EE08FA"/>
    <w:rsid w:val="00EF07CA"/>
    <w:rsid w:val="00F431CE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88A9"/>
  <w15:chartTrackingRefBased/>
  <w15:docId w15:val="{4A84D931-D440-446B-AE30-4B83DC8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3B"/>
  </w:style>
  <w:style w:type="paragraph" w:styleId="Footer">
    <w:name w:val="footer"/>
    <w:basedOn w:val="Normal"/>
    <w:link w:val="FooterChar"/>
    <w:uiPriority w:val="99"/>
    <w:unhideWhenUsed/>
    <w:rsid w:val="0047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3B"/>
  </w:style>
  <w:style w:type="paragraph" w:styleId="ListParagraph">
    <w:name w:val="List Paragraph"/>
    <w:basedOn w:val="Normal"/>
    <w:uiPriority w:val="34"/>
    <w:qFormat/>
    <w:rsid w:val="000E1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policy-library/associated-documents/pd-2002-0006-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allsends-p.schools.nsw.gov.a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F8FDE21B043F9B27DC242399D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D63C-F8C9-4911-B995-DC1275550C55}"/>
      </w:docPartPr>
      <w:docPartBody>
        <w:p w:rsidR="0031029D" w:rsidRDefault="00C600A1" w:rsidP="00C600A1">
          <w:pPr>
            <w:pStyle w:val="E64F8FDE21B043F9B27DC242399D1F9C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1"/>
    <w:rsid w:val="00144BDB"/>
    <w:rsid w:val="00294F4D"/>
    <w:rsid w:val="0031029D"/>
    <w:rsid w:val="004F01DB"/>
    <w:rsid w:val="0067114F"/>
    <w:rsid w:val="0073091C"/>
    <w:rsid w:val="008B1ABC"/>
    <w:rsid w:val="009B4CA1"/>
    <w:rsid w:val="00A518A9"/>
    <w:rsid w:val="00C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F8FDE21B043F9B27DC242399D1F9C">
    <w:name w:val="E64F8FDE21B043F9B27DC242399D1F9C"/>
    <w:rsid w:val="00C60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MARCH 2023</vt:lpstr>
    </vt:vector>
  </TitlesOfParts>
  <Company>Department of Education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MARCH 2023</dc:title>
  <dc:subject/>
  <dc:creator>Kelly Deakin</dc:creator>
  <cp:keywords/>
  <dc:description/>
  <cp:lastModifiedBy>Kelly Deakin</cp:lastModifiedBy>
  <cp:revision>3</cp:revision>
  <cp:lastPrinted>2019-08-07T05:44:00Z</cp:lastPrinted>
  <dcterms:created xsi:type="dcterms:W3CDTF">2023-05-21T23:43:00Z</dcterms:created>
  <dcterms:modified xsi:type="dcterms:W3CDTF">2023-05-22T00:20:00Z</dcterms:modified>
</cp:coreProperties>
</file>